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 персонала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«Маркетинг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собирать и структурировать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навыками анализа и структурирования информации о работодателе</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60.3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«Маркетинг персонала»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Стратегия организации и концепция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Реализация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948.5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персонала: сущность, цели и задачи</w:t>
            </w:r>
          </w:p>
          <w:p>
            <w:pPr>
              <w:jc w:val="both"/>
              <w:spacing w:after="0" w:line="240" w:lineRule="auto"/>
              <w:rPr>
                <w:sz w:val="24"/>
                <w:szCs w:val="24"/>
              </w:rPr>
            </w:pPr>
            <w:r>
              <w:rPr>
                <w:rFonts w:ascii="Times New Roman" w:hAnsi="Times New Roman" w:cs="Times New Roman"/>
                <w:color w:val="#000000"/>
                <w:sz w:val="24"/>
                <w:szCs w:val="24"/>
              </w:rPr>
              <w:t> Основные предпосылки реализации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Внешняя и внутренняя маркетинговая среда в области персонала</w:t>
            </w:r>
          </w:p>
          <w:p>
            <w:pPr>
              <w:jc w:val="both"/>
              <w:spacing w:after="0" w:line="240" w:lineRule="auto"/>
              <w:rPr>
                <w:sz w:val="24"/>
                <w:szCs w:val="24"/>
              </w:rPr>
            </w:pPr>
            <w:r>
              <w:rPr>
                <w:rFonts w:ascii="Times New Roman" w:hAnsi="Times New Roman" w:cs="Times New Roman"/>
                <w:color w:val="#000000"/>
                <w:sz w:val="24"/>
                <w:szCs w:val="24"/>
              </w:rPr>
              <w:t> Маркетинговые концепции, характерные для различных этапов развития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Этапы разработки маркетинговой концепции</w:t>
            </w:r>
          </w:p>
          <w:p>
            <w:pPr>
              <w:jc w:val="both"/>
              <w:spacing w:after="0" w:line="240" w:lineRule="auto"/>
              <w:rPr>
                <w:sz w:val="24"/>
                <w:szCs w:val="24"/>
              </w:rPr>
            </w:pPr>
            <w:r>
              <w:rPr>
                <w:rFonts w:ascii="Times New Roman" w:hAnsi="Times New Roman" w:cs="Times New Roman"/>
                <w:color w:val="#000000"/>
                <w:sz w:val="24"/>
                <w:szCs w:val="24"/>
              </w:rPr>
              <w:t> Модель маркетинга персонала-микс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основные направления кадровой политики организации и формы ее объективации</w:t>
            </w:r>
          </w:p>
          <w:p>
            <w:pPr>
              <w:jc w:val="both"/>
              <w:spacing w:after="0" w:line="240" w:lineRule="auto"/>
              <w:rPr>
                <w:sz w:val="24"/>
                <w:szCs w:val="24"/>
              </w:rPr>
            </w:pPr>
            <w:r>
              <w:rPr>
                <w:rFonts w:ascii="Times New Roman" w:hAnsi="Times New Roman" w:cs="Times New Roman"/>
                <w:color w:val="#000000"/>
                <w:sz w:val="24"/>
                <w:szCs w:val="24"/>
              </w:rPr>
              <w:t> Логика разработки концептуальных основ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 как форма реализации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плана маркетинга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769.3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Функции контроля маркетинга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Виды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Формы контроля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требований к персоналу и потребности в нем</w:t>
            </w:r>
          </w:p>
          <w:p>
            <w:pPr>
              <w:jc w:val="both"/>
              <w:spacing w:after="0" w:line="240" w:lineRule="auto"/>
              <w:rPr>
                <w:sz w:val="24"/>
                <w:szCs w:val="24"/>
              </w:rPr>
            </w:pPr>
            <w:r>
              <w:rPr>
                <w:rFonts w:ascii="Times New Roman" w:hAnsi="Times New Roman" w:cs="Times New Roman"/>
                <w:color w:val="#000000"/>
                <w:sz w:val="24"/>
                <w:szCs w:val="24"/>
              </w:rPr>
              <w:t> Выявление запросов к работодателю и выбор целевой аудитории</w:t>
            </w:r>
          </w:p>
          <w:p>
            <w:pPr>
              <w:jc w:val="both"/>
              <w:spacing w:after="0" w:line="240" w:lineRule="auto"/>
              <w:rPr>
                <w:sz w:val="24"/>
                <w:szCs w:val="24"/>
              </w:rPr>
            </w:pPr>
            <w:r>
              <w:rPr>
                <w:rFonts w:ascii="Times New Roman" w:hAnsi="Times New Roman" w:cs="Times New Roman"/>
                <w:color w:val="#000000"/>
                <w:sz w:val="24"/>
                <w:szCs w:val="24"/>
              </w:rPr>
              <w:t> Значение маркетинга персонала в привлечении и удержании персонала</w:t>
            </w:r>
          </w:p>
          <w:p>
            <w:pPr>
              <w:jc w:val="both"/>
              <w:spacing w:after="0" w:line="240" w:lineRule="auto"/>
              <w:rPr>
                <w:sz w:val="24"/>
                <w:szCs w:val="24"/>
              </w:rPr>
            </w:pPr>
            <w:r>
              <w:rPr>
                <w:rFonts w:ascii="Times New Roman" w:hAnsi="Times New Roman" w:cs="Times New Roman"/>
                <w:color w:val="#000000"/>
                <w:sz w:val="24"/>
                <w:szCs w:val="24"/>
              </w:rPr>
              <w:t> Персонал-имидж и его влияние на имидж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Коммуникационная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Ценовая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лояльности как функция маркетинга персонала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Бренд работодателя как инструмент привлечения, удержания и вовлечения конкурентоспособного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поддержание и продвижение бренда работодателя</w:t>
            </w:r>
          </w:p>
          <w:p>
            <w:pPr>
              <w:jc w:val="both"/>
              <w:spacing w:after="0" w:line="240" w:lineRule="auto"/>
              <w:rPr>
                <w:sz w:val="24"/>
                <w:szCs w:val="24"/>
              </w:rPr>
            </w:pPr>
            <w:r>
              <w:rPr>
                <w:rFonts w:ascii="Times New Roman" w:hAnsi="Times New Roman" w:cs="Times New Roman"/>
                <w:color w:val="#000000"/>
                <w:sz w:val="24"/>
                <w:szCs w:val="24"/>
              </w:rPr>
              <w:t> Технологии HR-брендинга в современной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бренда работодателя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эффективности мероприятий маркетинга персонала</w:t>
            </w:r>
          </w:p>
          <w:p>
            <w:pPr>
              <w:jc w:val="both"/>
              <w:spacing w:after="0" w:line="240" w:lineRule="auto"/>
              <w:rPr>
                <w:sz w:val="24"/>
                <w:szCs w:val="24"/>
              </w:rPr>
            </w:pPr>
            <w:r>
              <w:rPr>
                <w:rFonts w:ascii="Times New Roman" w:hAnsi="Times New Roman" w:cs="Times New Roman"/>
                <w:color w:val="#000000"/>
                <w:sz w:val="24"/>
                <w:szCs w:val="24"/>
              </w:rPr>
              <w:t> Методики оценки эффективности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Клиентоориентированность персонала как показатель эффективности маркетинга персонала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персонала»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Дубино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http://www.iprbookshop.ru/80420.html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https://urait.ru/bcode/468825</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Калюгина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Мухорьянова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http://www.iprbookshop.ru/66048.html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9.0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83.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2023-2024_ФГОС3++2023_Бак-ОФО-УП(ДОП)(23)_plx_Маркетинг персонала</dc:title>
  <dc:creator>FastReport.NET</dc:creator>
</cp:coreProperties>
</file>